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883C" w14:textId="77777777" w:rsidR="00A126CB" w:rsidRDefault="00A126CB">
      <w:pPr>
        <w:rPr>
          <w:lang w:val="en-GB"/>
        </w:rPr>
      </w:pPr>
    </w:p>
    <w:p w14:paraId="03C213CB" w14:textId="359EB8F2" w:rsidR="002B68D3" w:rsidRDefault="003660A1">
      <w:pPr>
        <w:rPr>
          <w:lang w:val="en-GB"/>
        </w:rPr>
      </w:pPr>
      <w:r>
        <w:rPr>
          <w:lang w:val="en-GB"/>
        </w:rPr>
        <w:t xml:space="preserve">DACORUM BC </w:t>
      </w:r>
      <w:r w:rsidR="006D5B0D">
        <w:rPr>
          <w:lang w:val="en-GB"/>
        </w:rPr>
        <w:t xml:space="preserve">FOI RESPONSE </w:t>
      </w:r>
      <w:r>
        <w:rPr>
          <w:lang w:val="en-GB"/>
        </w:rPr>
        <w:t>1 DECEMBER 2025</w:t>
      </w:r>
    </w:p>
    <w:p w14:paraId="4053E803" w14:textId="25A7FC88" w:rsidR="002B68D3" w:rsidRPr="002B68D3" w:rsidRDefault="002B68D3" w:rsidP="002B68D3">
      <w:pPr>
        <w:shd w:val="clear" w:color="auto" w:fill="FFFFFF"/>
        <w:spacing w:before="100" w:beforeAutospacing="1" w:after="150" w:line="240" w:lineRule="auto"/>
        <w:rPr>
          <w:rFonts w:ascii="Arial" w:eastAsia="Times New Roman" w:hAnsi="Arial" w:cs="Arial"/>
          <w:color w:val="222222"/>
          <w:kern w:val="0"/>
          <w:lang w:val="en-GB" w:eastAsia="fr-FR"/>
          <w14:ligatures w14:val="none"/>
        </w:rPr>
      </w:pPr>
      <w:r w:rsidRPr="002B68D3">
        <w:rPr>
          <w:rFonts w:ascii="Arial" w:eastAsia="Times New Roman" w:hAnsi="Arial" w:cs="Arial"/>
          <w:color w:val="222222"/>
          <w:kern w:val="0"/>
          <w:lang w:val="en-GB" w:eastAsia="fr-FR"/>
          <w14:ligatures w14:val="none"/>
        </w:rPr>
        <w:t xml:space="preserve">Dear </w:t>
      </w:r>
    </w:p>
    <w:p w14:paraId="6DF88A96" w14:textId="484EF4C4" w:rsidR="002B68D3" w:rsidRPr="002B68D3" w:rsidRDefault="002B68D3" w:rsidP="002B68D3">
      <w:pPr>
        <w:shd w:val="clear" w:color="auto" w:fill="FFFFFF"/>
        <w:spacing w:before="100" w:beforeAutospacing="1" w:after="150" w:line="240" w:lineRule="auto"/>
        <w:rPr>
          <w:rFonts w:ascii="Arial" w:eastAsia="Times New Roman" w:hAnsi="Arial" w:cs="Arial"/>
          <w:color w:val="222222"/>
          <w:kern w:val="0"/>
          <w:lang w:val="en-GB" w:eastAsia="fr-FR"/>
          <w14:ligatures w14:val="none"/>
        </w:rPr>
      </w:pPr>
      <w:r w:rsidRPr="002B68D3">
        <w:rPr>
          <w:rFonts w:ascii="Arial" w:eastAsia="Times New Roman" w:hAnsi="Arial" w:cs="Arial"/>
          <w:color w:val="222222"/>
          <w:kern w:val="0"/>
          <w:lang w:val="en-GB" w:eastAsia="fr-FR"/>
          <w14:ligatures w14:val="none"/>
        </w:rPr>
        <w:t>Further to your correspondence dated 10</w:t>
      </w:r>
      <w:r w:rsidRPr="002B68D3">
        <w:rPr>
          <w:rFonts w:ascii="Arial" w:eastAsia="Times New Roman" w:hAnsi="Arial" w:cs="Arial"/>
          <w:color w:val="222222"/>
          <w:kern w:val="0"/>
          <w:vertAlign w:val="superscript"/>
          <w:lang w:val="en-GB" w:eastAsia="fr-FR"/>
          <w14:ligatures w14:val="none"/>
        </w:rPr>
        <w:t>th</w:t>
      </w:r>
      <w:r w:rsidRPr="002B68D3">
        <w:rPr>
          <w:rFonts w:ascii="Arial" w:eastAsia="Times New Roman" w:hAnsi="Arial" w:cs="Arial"/>
          <w:color w:val="222222"/>
          <w:kern w:val="0"/>
          <w:lang w:val="en-GB" w:eastAsia="fr-FR"/>
          <w14:ligatures w14:val="none"/>
        </w:rPr>
        <w:t> November 2025 in relation to your Freedom of Information request</w:t>
      </w:r>
      <w:r>
        <w:rPr>
          <w:rFonts w:ascii="Arial" w:eastAsia="Times New Roman" w:hAnsi="Arial" w:cs="Arial"/>
          <w:color w:val="222222"/>
          <w:kern w:val="0"/>
          <w:lang w:val="en-GB" w:eastAsia="fr-FR"/>
          <w14:ligatures w14:val="none"/>
        </w:rPr>
        <w:t>.</w:t>
      </w:r>
    </w:p>
    <w:p w14:paraId="72E991FA" w14:textId="77777777" w:rsidR="002B68D3" w:rsidRPr="002B68D3" w:rsidRDefault="002B68D3" w:rsidP="002B68D3">
      <w:pPr>
        <w:shd w:val="clear" w:color="auto" w:fill="FFFFFF"/>
        <w:spacing w:before="100" w:beforeAutospacing="1" w:after="150" w:line="240" w:lineRule="auto"/>
        <w:rPr>
          <w:rFonts w:ascii="Arial" w:eastAsia="Times New Roman" w:hAnsi="Arial" w:cs="Arial"/>
          <w:color w:val="222222"/>
          <w:kern w:val="0"/>
          <w:lang w:val="en-GB" w:eastAsia="fr-FR"/>
          <w14:ligatures w14:val="none"/>
        </w:rPr>
      </w:pPr>
      <w:r w:rsidRPr="002B68D3">
        <w:rPr>
          <w:rFonts w:ascii="Arial" w:eastAsia="Times New Roman" w:hAnsi="Arial" w:cs="Arial"/>
          <w:color w:val="222222"/>
          <w:kern w:val="0"/>
          <w:lang w:val="en-GB" w:eastAsia="fr-FR"/>
          <w14:ligatures w14:val="none"/>
        </w:rPr>
        <w:t>You have asked why the assessment of options, which was completed in May 2025, was not made a major factor in the public engagement process held during the summer. You have also asked about the assessment of options and how this was agreed by the Board.</w:t>
      </w:r>
    </w:p>
    <w:p w14:paraId="05921CD5" w14:textId="77777777" w:rsidR="002B68D3" w:rsidRPr="002B68D3" w:rsidRDefault="002B68D3" w:rsidP="002B68D3">
      <w:pPr>
        <w:shd w:val="clear" w:color="auto" w:fill="FFFFFF"/>
        <w:spacing w:before="100" w:beforeAutospacing="1" w:after="150" w:line="240" w:lineRule="auto"/>
        <w:rPr>
          <w:rFonts w:ascii="Arial" w:eastAsia="Times New Roman" w:hAnsi="Arial" w:cs="Arial"/>
          <w:color w:val="222222"/>
          <w:kern w:val="0"/>
          <w:lang w:val="en-GB" w:eastAsia="fr-FR"/>
          <w14:ligatures w14:val="none"/>
        </w:rPr>
      </w:pPr>
      <w:r w:rsidRPr="002B68D3">
        <w:rPr>
          <w:rFonts w:ascii="Arial" w:eastAsia="Times New Roman" w:hAnsi="Arial" w:cs="Arial"/>
          <w:color w:val="222222"/>
          <w:kern w:val="0"/>
          <w:lang w:val="en-GB" w:eastAsia="fr-FR"/>
          <w14:ligatures w14:val="none"/>
        </w:rPr>
        <w:t>In May 2025, The Joint Strategic Board agreed the progression from a long list of options to a short list.  Option 4 - Market Square - was identified as the preferred way forward because of the site’s ease of access, its alignment with the neighbourhood model of care, and its potential to support the future regeneration of the town centre. This option meets the strategic alignment of the partnerships and ensures the new health campus remains within a town centre location.</w:t>
      </w:r>
    </w:p>
    <w:p w14:paraId="5168D857" w14:textId="77777777" w:rsidR="002B68D3" w:rsidRPr="002B68D3" w:rsidRDefault="002B68D3" w:rsidP="002B68D3">
      <w:pPr>
        <w:shd w:val="clear" w:color="auto" w:fill="FFFFFF"/>
        <w:spacing w:before="100" w:beforeAutospacing="1" w:after="150" w:line="240" w:lineRule="auto"/>
        <w:rPr>
          <w:rFonts w:ascii="Arial" w:eastAsia="Times New Roman" w:hAnsi="Arial" w:cs="Arial"/>
          <w:color w:val="222222"/>
          <w:kern w:val="0"/>
          <w:lang w:val="en-GB" w:eastAsia="fr-FR"/>
          <w14:ligatures w14:val="none"/>
        </w:rPr>
      </w:pPr>
      <w:r w:rsidRPr="002B68D3">
        <w:rPr>
          <w:rFonts w:ascii="Arial" w:eastAsia="Times New Roman" w:hAnsi="Arial" w:cs="Arial"/>
          <w:color w:val="222222"/>
          <w:kern w:val="0"/>
          <w:lang w:val="en-GB" w:eastAsia="fr-FR"/>
          <w14:ligatures w14:val="none"/>
        </w:rPr>
        <w:t>Work undertaken as part of the commercial case and cost</w:t>
      </w:r>
      <w:r w:rsidRPr="002B68D3">
        <w:rPr>
          <w:rFonts w:ascii="Arial" w:eastAsia="Times New Roman" w:hAnsi="Arial" w:cs="Arial"/>
          <w:color w:val="222222"/>
          <w:kern w:val="0"/>
          <w:lang w:val="en-GB" w:eastAsia="fr-FR"/>
          <w14:ligatures w14:val="none"/>
        </w:rPr>
        <w:noBreakHyphen/>
        <w:t>benefit analysis supports Option 4, but the final decision will rest with NHS England and HM Treasury. Should the draft Strategic Outline Case secure approval to proceed, there will be further and more detailed engagement activities at both the Outline Business Case and Full Business Case stages.</w:t>
      </w:r>
    </w:p>
    <w:p w14:paraId="3E406DF4" w14:textId="77777777" w:rsidR="002B68D3" w:rsidRPr="002B68D3" w:rsidRDefault="002B68D3" w:rsidP="002B68D3">
      <w:pPr>
        <w:shd w:val="clear" w:color="auto" w:fill="FFFFFF"/>
        <w:spacing w:before="100" w:beforeAutospacing="1" w:after="150" w:line="240" w:lineRule="auto"/>
        <w:rPr>
          <w:rFonts w:ascii="Arial" w:eastAsia="Times New Roman" w:hAnsi="Arial" w:cs="Arial"/>
          <w:color w:val="222222"/>
          <w:kern w:val="0"/>
          <w:lang w:val="en-GB" w:eastAsia="fr-FR"/>
          <w14:ligatures w14:val="none"/>
        </w:rPr>
      </w:pPr>
      <w:r w:rsidRPr="002B68D3">
        <w:rPr>
          <w:rFonts w:ascii="Arial" w:eastAsia="Times New Roman" w:hAnsi="Arial" w:cs="Arial"/>
          <w:color w:val="222222"/>
          <w:kern w:val="0"/>
          <w:lang w:val="en-GB" w:eastAsia="fr-FR"/>
          <w14:ligatures w14:val="none"/>
        </w:rPr>
        <w:t>You have referred to the statement made by David Taylor MP at Prime Minister’s Questions on 4 June, and the Prime Minister’s response that there would be full public consultation. Engagement has already taken place with staff, patients, and the public during June, July, and August. The purpose of these sessions was to gather views on the overall vision and model of care, rather than to consult formally on a single preferred site. Further consultation will take place at the appropriate stage once the Strategic Outline Case has been approved. </w:t>
      </w:r>
    </w:p>
    <w:p w14:paraId="48C6F624" w14:textId="77777777" w:rsidR="002B68D3" w:rsidRPr="002B68D3" w:rsidRDefault="002B68D3" w:rsidP="002B68D3">
      <w:pPr>
        <w:shd w:val="clear" w:color="auto" w:fill="FFFFFF"/>
        <w:spacing w:before="100" w:beforeAutospacing="1" w:after="150" w:line="240" w:lineRule="auto"/>
        <w:rPr>
          <w:rFonts w:ascii="Arial" w:eastAsia="Times New Roman" w:hAnsi="Arial" w:cs="Arial"/>
          <w:color w:val="222222"/>
          <w:kern w:val="0"/>
          <w:lang w:val="en-GB" w:eastAsia="fr-FR"/>
          <w14:ligatures w14:val="none"/>
        </w:rPr>
      </w:pPr>
      <w:r w:rsidRPr="002B68D3">
        <w:rPr>
          <w:rFonts w:ascii="Arial" w:eastAsia="Times New Roman" w:hAnsi="Arial" w:cs="Arial"/>
          <w:color w:val="222222"/>
          <w:kern w:val="0"/>
          <w:lang w:val="en-GB" w:eastAsia="fr-FR"/>
          <w14:ligatures w14:val="none"/>
        </w:rPr>
        <w:t>As noted previously, the detailed evidence underpinning the Critical Success Factors remains commercially sensitive and cannot be shared. This is in line with Section 43(2) of the Freedom of Information Act 2000, as disclosure would be prejudicial to the commercial interests of the Council and its partners.</w:t>
      </w:r>
    </w:p>
    <w:p w14:paraId="13DDAE61" w14:textId="77777777" w:rsidR="002B68D3" w:rsidRPr="002B68D3" w:rsidRDefault="002B68D3" w:rsidP="002B68D3">
      <w:pPr>
        <w:shd w:val="clear" w:color="auto" w:fill="FFFFFF"/>
        <w:spacing w:before="100" w:beforeAutospacing="1" w:after="150" w:line="240" w:lineRule="auto"/>
        <w:rPr>
          <w:rFonts w:ascii="Arial" w:eastAsia="Times New Roman" w:hAnsi="Arial" w:cs="Arial"/>
          <w:color w:val="222222"/>
          <w:kern w:val="0"/>
          <w:lang w:eastAsia="fr-FR"/>
          <w14:ligatures w14:val="none"/>
        </w:rPr>
      </w:pPr>
      <w:proofErr w:type="spellStart"/>
      <w:r w:rsidRPr="002B68D3">
        <w:rPr>
          <w:rFonts w:ascii="Arial" w:eastAsia="Times New Roman" w:hAnsi="Arial" w:cs="Arial"/>
          <w:color w:val="222222"/>
          <w:kern w:val="0"/>
          <w:lang w:eastAsia="fr-FR"/>
          <w14:ligatures w14:val="none"/>
        </w:rPr>
        <w:t>Yours</w:t>
      </w:r>
      <w:proofErr w:type="spellEnd"/>
      <w:r w:rsidRPr="002B68D3">
        <w:rPr>
          <w:rFonts w:ascii="Arial" w:eastAsia="Times New Roman" w:hAnsi="Arial" w:cs="Arial"/>
          <w:color w:val="222222"/>
          <w:kern w:val="0"/>
          <w:lang w:eastAsia="fr-FR"/>
          <w14:ligatures w14:val="none"/>
        </w:rPr>
        <w:t xml:space="preserve"> </w:t>
      </w:r>
      <w:proofErr w:type="spellStart"/>
      <w:r w:rsidRPr="002B68D3">
        <w:rPr>
          <w:rFonts w:ascii="Arial" w:eastAsia="Times New Roman" w:hAnsi="Arial" w:cs="Arial"/>
          <w:color w:val="222222"/>
          <w:kern w:val="0"/>
          <w:lang w:eastAsia="fr-FR"/>
          <w14:ligatures w14:val="none"/>
        </w:rPr>
        <w:t>sincerely</w:t>
      </w:r>
      <w:proofErr w:type="spellEnd"/>
      <w:r w:rsidRPr="002B68D3">
        <w:rPr>
          <w:rFonts w:ascii="Arial" w:eastAsia="Times New Roman" w:hAnsi="Arial" w:cs="Arial"/>
          <w:color w:val="222222"/>
          <w:kern w:val="0"/>
          <w:lang w:eastAsia="fr-FR"/>
          <w14:ligatures w14:val="none"/>
        </w:rPr>
        <w:t>,</w:t>
      </w:r>
    </w:p>
    <w:p w14:paraId="3A7776E9" w14:textId="77777777" w:rsidR="002B68D3" w:rsidRPr="002B68D3" w:rsidRDefault="002B68D3" w:rsidP="002B68D3">
      <w:pPr>
        <w:shd w:val="clear" w:color="auto" w:fill="FFFFFF"/>
        <w:spacing w:after="150" w:line="240" w:lineRule="auto"/>
        <w:rPr>
          <w:rFonts w:ascii="Arial" w:eastAsia="Times New Roman" w:hAnsi="Arial" w:cs="Arial"/>
          <w:color w:val="222222"/>
          <w:kern w:val="0"/>
          <w:lang w:eastAsia="fr-FR"/>
          <w14:ligatures w14:val="none"/>
        </w:rPr>
      </w:pPr>
      <w:r w:rsidRPr="002B68D3">
        <w:rPr>
          <w:rFonts w:ascii="Aptos" w:eastAsia="Times New Roman" w:hAnsi="Aptos" w:cs="Arial"/>
          <w:color w:val="222222"/>
          <w:kern w:val="0"/>
          <w:lang w:eastAsia="fr-FR"/>
          <w14:ligatures w14:val="none"/>
        </w:rPr>
        <w:t> </w:t>
      </w:r>
    </w:p>
    <w:p w14:paraId="48CA29FE" w14:textId="77777777" w:rsidR="002B68D3" w:rsidRPr="002B68D3" w:rsidRDefault="002B68D3">
      <w:pPr>
        <w:rPr>
          <w:lang w:val="en-GB"/>
        </w:rPr>
      </w:pPr>
    </w:p>
    <w:sectPr w:rsidR="002B68D3" w:rsidRPr="002B68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CB"/>
    <w:rsid w:val="002B68D3"/>
    <w:rsid w:val="003660A1"/>
    <w:rsid w:val="006D5B0D"/>
    <w:rsid w:val="00A126CB"/>
    <w:rsid w:val="00C177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EDAF"/>
  <w15:chartTrackingRefBased/>
  <w15:docId w15:val="{A4B0AEBC-E6B2-4FD1-855E-73381F7F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6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6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6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6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6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6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6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6CB"/>
    <w:rPr>
      <w:rFonts w:eastAsiaTheme="majorEastAsia" w:cstheme="majorBidi"/>
      <w:color w:val="272727" w:themeColor="text1" w:themeTint="D8"/>
    </w:rPr>
  </w:style>
  <w:style w:type="paragraph" w:styleId="Title">
    <w:name w:val="Title"/>
    <w:basedOn w:val="Normal"/>
    <w:next w:val="Normal"/>
    <w:link w:val="TitleChar"/>
    <w:uiPriority w:val="10"/>
    <w:qFormat/>
    <w:rsid w:val="00A12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6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6CB"/>
    <w:pPr>
      <w:spacing w:before="160"/>
      <w:jc w:val="center"/>
    </w:pPr>
    <w:rPr>
      <w:i/>
      <w:iCs/>
      <w:color w:val="404040" w:themeColor="text1" w:themeTint="BF"/>
    </w:rPr>
  </w:style>
  <w:style w:type="character" w:customStyle="1" w:styleId="QuoteChar">
    <w:name w:val="Quote Char"/>
    <w:basedOn w:val="DefaultParagraphFont"/>
    <w:link w:val="Quote"/>
    <w:uiPriority w:val="29"/>
    <w:rsid w:val="00A126CB"/>
    <w:rPr>
      <w:i/>
      <w:iCs/>
      <w:color w:val="404040" w:themeColor="text1" w:themeTint="BF"/>
    </w:rPr>
  </w:style>
  <w:style w:type="paragraph" w:styleId="ListParagraph">
    <w:name w:val="List Paragraph"/>
    <w:basedOn w:val="Normal"/>
    <w:uiPriority w:val="34"/>
    <w:qFormat/>
    <w:rsid w:val="00A126CB"/>
    <w:pPr>
      <w:ind w:left="720"/>
      <w:contextualSpacing/>
    </w:pPr>
  </w:style>
  <w:style w:type="character" w:styleId="IntenseEmphasis">
    <w:name w:val="Intense Emphasis"/>
    <w:basedOn w:val="DefaultParagraphFont"/>
    <w:uiPriority w:val="21"/>
    <w:qFormat/>
    <w:rsid w:val="00A126CB"/>
    <w:rPr>
      <w:i/>
      <w:iCs/>
      <w:color w:val="0F4761" w:themeColor="accent1" w:themeShade="BF"/>
    </w:rPr>
  </w:style>
  <w:style w:type="paragraph" w:styleId="IntenseQuote">
    <w:name w:val="Intense Quote"/>
    <w:basedOn w:val="Normal"/>
    <w:next w:val="Normal"/>
    <w:link w:val="IntenseQuoteChar"/>
    <w:uiPriority w:val="30"/>
    <w:qFormat/>
    <w:rsid w:val="00A12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6CB"/>
    <w:rPr>
      <w:i/>
      <w:iCs/>
      <w:color w:val="0F4761" w:themeColor="accent1" w:themeShade="BF"/>
    </w:rPr>
  </w:style>
  <w:style w:type="character" w:styleId="IntenseReference">
    <w:name w:val="Intense Reference"/>
    <w:basedOn w:val="DefaultParagraphFont"/>
    <w:uiPriority w:val="32"/>
    <w:qFormat/>
    <w:rsid w:val="00A126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1792</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Aylett</dc:creator>
  <cp:keywords/>
  <dc:description/>
  <cp:lastModifiedBy>Philip Aylett</cp:lastModifiedBy>
  <cp:revision>4</cp:revision>
  <dcterms:created xsi:type="dcterms:W3CDTF">2025-12-04T10:55:00Z</dcterms:created>
  <dcterms:modified xsi:type="dcterms:W3CDTF">2025-12-04T10:57:00Z</dcterms:modified>
</cp:coreProperties>
</file>